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6B82D824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4446F447" w:rsidR="00D35FA1" w:rsidRPr="00194570" w:rsidRDefault="00B5601E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 w:rsidRPr="00B5601E">
        <w:drawing>
          <wp:anchor distT="0" distB="0" distL="114300" distR="114300" simplePos="0" relativeHeight="251660288" behindDoc="1" locked="0" layoutInCell="1" allowOverlap="1" wp14:anchorId="613E60E9" wp14:editId="0A3FC6E8">
            <wp:simplePos x="0" y="0"/>
            <wp:positionH relativeFrom="column">
              <wp:posOffset>1326112</wp:posOffset>
            </wp:positionH>
            <wp:positionV relativeFrom="paragraph">
              <wp:posOffset>825059</wp:posOffset>
            </wp:positionV>
            <wp:extent cx="5189525" cy="4200379"/>
            <wp:effectExtent l="76200" t="76200" r="125730" b="1244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43" b="3459"/>
                    <a:stretch/>
                  </pic:blipFill>
                  <pic:spPr bwMode="auto">
                    <a:xfrm>
                      <a:off x="0" y="0"/>
                      <a:ext cx="5203449" cy="4211649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5FA1"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6AAE8591" w:rsidR="00D35FA1" w:rsidRDefault="00D35FA1"/>
    <w:tbl>
      <w:tblPr>
        <w:tblpPr w:leftFromText="180" w:rightFromText="180" w:vertAnchor="text" w:horzAnchor="margin" w:tblpXSpec="center" w:tblpY="6347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010CEE" w:rsidRPr="00D35FA1" w14:paraId="31B35EDE" w14:textId="77777777" w:rsidTr="00010CEE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FE4880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03FB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0890C4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A687C6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010CEE" w:rsidRPr="00D35FA1" w14:paraId="4FC597B2" w14:textId="77777777" w:rsidTr="00010CEE">
        <w:trPr>
          <w:trHeight w:val="426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4B3D5E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7E2D5E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9F506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DC76C8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010CEE" w:rsidRPr="00D35FA1" w14:paraId="7E172A55" w14:textId="77777777" w:rsidTr="00010CEE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9549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0FF9C9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EE32F6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$102.73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26083E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-43.2%</w:t>
            </w:r>
          </w:p>
        </w:tc>
      </w:tr>
      <w:tr w:rsidR="00010CEE" w:rsidRPr="00D35FA1" w14:paraId="33B26554" w14:textId="77777777" w:rsidTr="00010CEE">
        <w:trPr>
          <w:trHeight w:val="426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BFE9CD" w14:textId="77777777" w:rsidR="00010CEE" w:rsidRPr="00D35FA1" w:rsidRDefault="00010CEE" w:rsidP="00010CEE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CBA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793F1B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76BC48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$70.11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220F51" w14:textId="77777777" w:rsidR="00010CEE" w:rsidRPr="00D35FA1" w:rsidRDefault="00010CEE" w:rsidP="00010C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-61.2%</w:t>
            </w:r>
          </w:p>
        </w:tc>
      </w:tr>
    </w:tbl>
    <w:p w14:paraId="3E0258C0" w14:textId="6FDF88B9" w:rsidR="00117041" w:rsidRDefault="00930BC7" w:rsidP="004B667C">
      <w:pPr>
        <w:pStyle w:val="Heading1"/>
      </w:pPr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3634BAB7">
            <wp:simplePos x="0" y="0"/>
            <wp:positionH relativeFrom="margin">
              <wp:posOffset>-7962</wp:posOffset>
            </wp:positionH>
            <wp:positionV relativeFrom="paragraph">
              <wp:posOffset>1543685</wp:posOffset>
            </wp:positionV>
            <wp:extent cx="2104292" cy="2037274"/>
            <wp:effectExtent l="76200" t="76200" r="125095" b="134620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4292" cy="2037274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1704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4B868B" w14:textId="77777777" w:rsidR="0084621F" w:rsidRDefault="0084621F" w:rsidP="00D35FA1">
      <w:pPr>
        <w:spacing w:after="0" w:line="240" w:lineRule="auto"/>
      </w:pPr>
      <w:r>
        <w:separator/>
      </w:r>
    </w:p>
  </w:endnote>
  <w:endnote w:type="continuationSeparator" w:id="0">
    <w:p w14:paraId="609450AC" w14:textId="77777777" w:rsidR="0084621F" w:rsidRDefault="0084621F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D22812" w14:textId="77777777" w:rsidR="0084621F" w:rsidRDefault="0084621F" w:rsidP="00D35FA1">
      <w:pPr>
        <w:spacing w:after="0" w:line="240" w:lineRule="auto"/>
      </w:pPr>
      <w:r>
        <w:separator/>
      </w:r>
    </w:p>
  </w:footnote>
  <w:footnote w:type="continuationSeparator" w:id="0">
    <w:p w14:paraId="0197DE06" w14:textId="77777777" w:rsidR="0084621F" w:rsidRDefault="0084621F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3A96E78E" w:rsidR="00D35FA1" w:rsidRPr="00D35FA1" w:rsidRDefault="001A49F2" w:rsidP="00CA7774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>South Carolina</w:t>
    </w:r>
    <w:r w:rsidR="00CA7774">
      <w:rPr>
        <w:rFonts w:asciiTheme="majorHAnsi" w:hAnsiTheme="majorHAnsi" w:cstheme="majorHAnsi"/>
        <w:b/>
        <w:bCs/>
        <w:sz w:val="44"/>
        <w:szCs w:val="44"/>
      </w:rPr>
      <w:t xml:space="preserve"> 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>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023334"/>
    <w:rsid w:val="000C5C8B"/>
    <w:rsid w:val="001501EF"/>
    <w:rsid w:val="001A49F2"/>
    <w:rsid w:val="00236F39"/>
    <w:rsid w:val="00266445"/>
    <w:rsid w:val="00286750"/>
    <w:rsid w:val="00293739"/>
    <w:rsid w:val="00321BBF"/>
    <w:rsid w:val="00336EC3"/>
    <w:rsid w:val="00405BF5"/>
    <w:rsid w:val="00405C29"/>
    <w:rsid w:val="004374EE"/>
    <w:rsid w:val="004B667C"/>
    <w:rsid w:val="004F7D0D"/>
    <w:rsid w:val="00540032"/>
    <w:rsid w:val="0054549F"/>
    <w:rsid w:val="00572D38"/>
    <w:rsid w:val="00637835"/>
    <w:rsid w:val="00702C25"/>
    <w:rsid w:val="00792667"/>
    <w:rsid w:val="007E1413"/>
    <w:rsid w:val="00834A54"/>
    <w:rsid w:val="0084621F"/>
    <w:rsid w:val="0085082F"/>
    <w:rsid w:val="0085666E"/>
    <w:rsid w:val="008E1586"/>
    <w:rsid w:val="00906AC5"/>
    <w:rsid w:val="00930BC7"/>
    <w:rsid w:val="00942A05"/>
    <w:rsid w:val="00A96778"/>
    <w:rsid w:val="00AE14F4"/>
    <w:rsid w:val="00B35103"/>
    <w:rsid w:val="00B5601E"/>
    <w:rsid w:val="00B61427"/>
    <w:rsid w:val="00B76F9C"/>
    <w:rsid w:val="00C26B33"/>
    <w:rsid w:val="00CA7774"/>
    <w:rsid w:val="00D12D56"/>
    <w:rsid w:val="00D35FA1"/>
    <w:rsid w:val="00D666C4"/>
    <w:rsid w:val="00DE7EF7"/>
    <w:rsid w:val="00E01A76"/>
    <w:rsid w:val="00E504F5"/>
    <w:rsid w:val="00E71C24"/>
    <w:rsid w:val="00EA1777"/>
    <w:rsid w:val="00EA6973"/>
    <w:rsid w:val="00EF36B1"/>
    <w:rsid w:val="00F55A58"/>
    <w:rsid w:val="00F602F0"/>
    <w:rsid w:val="00FA1B23"/>
    <w:rsid w:val="00FA3893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4</cp:revision>
  <dcterms:created xsi:type="dcterms:W3CDTF">2021-06-07T17:08:00Z</dcterms:created>
  <dcterms:modified xsi:type="dcterms:W3CDTF">2021-06-07T17:37:00Z</dcterms:modified>
</cp:coreProperties>
</file>